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B9" w:rsidRPr="00DB65A7" w:rsidRDefault="00B53B78" w:rsidP="000F70F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744.15pt;margin-top:.9pt;width:70.65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843AB9" w:rsidRPr="006A6689" w:rsidRDefault="00843AB9" w:rsidP="00843AB9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Приложение №</w:t>
                  </w:r>
                  <w:r>
                    <w:rPr>
                      <w:sz w:val="18"/>
                      <w:szCs w:val="18"/>
                    </w:rPr>
                    <w:t xml:space="preserve"> 2</w:t>
                  </w:r>
                </w:p>
                <w:p w:rsidR="00843AB9" w:rsidRPr="006A6689" w:rsidRDefault="00843AB9" w:rsidP="00843AB9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к письму</w:t>
                  </w:r>
                </w:p>
                <w:p w:rsidR="00843AB9" w:rsidRPr="006A6689" w:rsidRDefault="00843AB9" w:rsidP="00843AB9">
                  <w:pPr>
                    <w:rPr>
                      <w:sz w:val="18"/>
                      <w:szCs w:val="18"/>
                    </w:rPr>
                  </w:pPr>
                  <w:r w:rsidRPr="006A6689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843AB9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843AB9" w:rsidRDefault="00843AB9" w:rsidP="000F70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Администрацию и сельсоветы Большесолдатского района Курской области </w:t>
      </w:r>
      <w:r w:rsidRPr="00DB65A7">
        <w:rPr>
          <w:b/>
          <w:sz w:val="22"/>
          <w:szCs w:val="22"/>
        </w:rPr>
        <w:t>по тематическим разделам, тематикам и группам</w:t>
      </w:r>
    </w:p>
    <w:p w:rsidR="00843AB9" w:rsidRPr="00DB65A7" w:rsidRDefault="00843AB9" w:rsidP="000F70F7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 </w:t>
      </w:r>
      <w:r w:rsidRPr="00DB65A7">
        <w:rPr>
          <w:b/>
          <w:sz w:val="22"/>
          <w:szCs w:val="22"/>
        </w:rPr>
        <w:t>квартал 201</w:t>
      </w:r>
      <w:r>
        <w:rPr>
          <w:b/>
          <w:sz w:val="22"/>
          <w:szCs w:val="22"/>
        </w:rPr>
        <w:t>9</w:t>
      </w:r>
      <w:r w:rsidRPr="00DB65A7">
        <w:rPr>
          <w:b/>
          <w:sz w:val="22"/>
          <w:szCs w:val="22"/>
        </w:rPr>
        <w:t>г.</w:t>
      </w: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471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843AB9" w:rsidRPr="00976D9D" w:rsidTr="002715F1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3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843AB9" w:rsidRPr="00976D9D" w:rsidTr="002715F1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843AB9" w:rsidRPr="00976D9D" w:rsidTr="002715F1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6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843AB9" w:rsidRPr="00976D9D" w:rsidTr="002715F1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843AB9" w:rsidRPr="00C8686A" w:rsidRDefault="00843AB9" w:rsidP="002715F1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843AB9" w:rsidRPr="00C8686A" w:rsidRDefault="00843AB9" w:rsidP="002715F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071A5C">
              <w:rPr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843AB9" w:rsidRPr="00071A5C" w:rsidRDefault="00843AB9" w:rsidP="002715F1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843AB9" w:rsidRPr="00976D9D" w:rsidTr="002715F1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6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843AB9" w:rsidRPr="00BE4132" w:rsidTr="002715F1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</w:tr>
      <w:tr w:rsidR="00843AB9" w:rsidRPr="00BE4132" w:rsidTr="002715F1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</w:tcPr>
          <w:p w:rsidR="00843AB9" w:rsidRPr="00652280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/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</w:tr>
      <w:tr w:rsidR="00843AB9" w:rsidRPr="00BE4132" w:rsidTr="002715F1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</w:tr>
      <w:tr w:rsidR="00843AB9" w:rsidRPr="00BE4132" w:rsidTr="002715F1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843AB9" w:rsidRPr="00BE4132" w:rsidRDefault="00843AB9" w:rsidP="002715F1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2019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</w:tr>
      <w:tr w:rsidR="00843AB9" w:rsidRPr="00BE4132" w:rsidTr="002715F1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AB9" w:rsidRDefault="00843AB9" w:rsidP="002715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43AB9" w:rsidRPr="00BE4132" w:rsidTr="002715F1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43AB9" w:rsidRDefault="00843AB9" w:rsidP="002715F1">
            <w:pPr>
              <w:jc w:val="center"/>
              <w:rPr>
                <w:sz w:val="18"/>
                <w:szCs w:val="18"/>
              </w:rPr>
            </w:pPr>
          </w:p>
        </w:tc>
      </w:tr>
      <w:tr w:rsidR="00843AB9" w:rsidRPr="00BE4132" w:rsidTr="002715F1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843AB9" w:rsidRPr="006E2034" w:rsidRDefault="00843AB9" w:rsidP="002715F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843AB9" w:rsidRPr="00115209" w:rsidRDefault="00843AB9" w:rsidP="002715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43AB9" w:rsidRDefault="00843AB9"/>
    <w:sectPr w:rsidR="00843AB9" w:rsidSect="000F70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3AB9"/>
    <w:rsid w:val="000F70F7"/>
    <w:rsid w:val="006E1722"/>
    <w:rsid w:val="00843AB9"/>
    <w:rsid w:val="00A53A43"/>
    <w:rsid w:val="00A71E81"/>
    <w:rsid w:val="00B53B78"/>
    <w:rsid w:val="00B96BC5"/>
    <w:rsid w:val="00F8246A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6BC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43AB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43AB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843AB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843AB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43AB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3</cp:revision>
  <dcterms:created xsi:type="dcterms:W3CDTF">2019-04-02T05:05:00Z</dcterms:created>
  <dcterms:modified xsi:type="dcterms:W3CDTF">2019-04-26T05:15:00Z</dcterms:modified>
</cp:coreProperties>
</file>